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2C2BA" w14:textId="09654DB6" w:rsidR="003F055D" w:rsidRDefault="003F055D">
      <w:pPr>
        <w:rPr>
          <w:b/>
          <w:lang w:val="en-GB"/>
        </w:rPr>
      </w:pPr>
      <w:bookmarkStart w:id="0" w:name="_GoBack"/>
      <w:bookmarkEnd w:id="0"/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E630794" wp14:editId="229DF55E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692275" cy="1292214"/>
            <wp:effectExtent l="0" t="0" r="9525" b="3810"/>
            <wp:wrapNone/>
            <wp:docPr id="1" name="Picture 1" descr="../../Downloads/Bham%20Neuro-Ophthalmology%20Logo/Neuro-Ophthalmolog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ownloads/Bham%20Neuro-Ophthalmology%20Logo/Neuro-Ophthalmology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9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A2BBB" w14:textId="77777777" w:rsidR="003F055D" w:rsidRDefault="003F055D">
      <w:pPr>
        <w:rPr>
          <w:b/>
          <w:lang w:val="en-GB"/>
        </w:rPr>
      </w:pPr>
    </w:p>
    <w:p w14:paraId="5AFC62C0" w14:textId="77777777" w:rsidR="003F055D" w:rsidRDefault="003F055D">
      <w:pPr>
        <w:rPr>
          <w:b/>
          <w:lang w:val="en-GB"/>
        </w:rPr>
      </w:pPr>
    </w:p>
    <w:p w14:paraId="04A5A21C" w14:textId="77777777" w:rsidR="00FF0992" w:rsidRDefault="00FF0992">
      <w:pPr>
        <w:rPr>
          <w:b/>
          <w:lang w:val="en-GB"/>
        </w:rPr>
      </w:pPr>
    </w:p>
    <w:p w14:paraId="581C0F30" w14:textId="4BEC21F7" w:rsidR="005D227B" w:rsidRDefault="00BC4F60">
      <w:pPr>
        <w:rPr>
          <w:b/>
          <w:lang w:val="en-GB"/>
        </w:rPr>
      </w:pPr>
      <w:r>
        <w:rPr>
          <w:b/>
          <w:lang w:val="en-GB"/>
        </w:rPr>
        <w:t xml:space="preserve">The </w:t>
      </w:r>
      <w:r w:rsidR="00DA2CAC">
        <w:rPr>
          <w:b/>
          <w:lang w:val="en-GB"/>
        </w:rPr>
        <w:t xml:space="preserve">Birmingham </w:t>
      </w:r>
      <w:proofErr w:type="gramStart"/>
      <w:r w:rsidR="004F1E0A" w:rsidRPr="004F1E0A">
        <w:rPr>
          <w:b/>
          <w:lang w:val="en-GB"/>
        </w:rPr>
        <w:t xml:space="preserve">Efferent </w:t>
      </w:r>
      <w:r w:rsidR="005D227B">
        <w:rPr>
          <w:b/>
          <w:lang w:val="en-GB"/>
        </w:rPr>
        <w:t xml:space="preserve"> Course</w:t>
      </w:r>
      <w:proofErr w:type="gramEnd"/>
      <w:r w:rsidR="005D227B">
        <w:rPr>
          <w:b/>
          <w:lang w:val="en-GB"/>
        </w:rPr>
        <w:t xml:space="preserve"> </w:t>
      </w:r>
    </w:p>
    <w:p w14:paraId="50952E66" w14:textId="77777777" w:rsidR="00794C4B" w:rsidRDefault="00794C4B">
      <w:pPr>
        <w:rPr>
          <w:b/>
          <w:lang w:val="en-GB"/>
        </w:rPr>
      </w:pPr>
    </w:p>
    <w:p w14:paraId="1BCF2DC7" w14:textId="477F89BE" w:rsidR="0020557F" w:rsidRDefault="00DC2D25">
      <w:pPr>
        <w:rPr>
          <w:b/>
          <w:lang w:val="en-GB"/>
        </w:rPr>
      </w:pPr>
      <w:r>
        <w:rPr>
          <w:b/>
          <w:lang w:val="en-GB"/>
        </w:rPr>
        <w:t>Wednesday 11</w:t>
      </w:r>
      <w:r w:rsidR="00FF0992" w:rsidRPr="00FF0992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December 2019</w:t>
      </w:r>
    </w:p>
    <w:p w14:paraId="3470E7AC" w14:textId="77777777" w:rsidR="00BC4F60" w:rsidRDefault="00BC4F60">
      <w:pPr>
        <w:rPr>
          <w:b/>
          <w:lang w:val="en-GB"/>
        </w:rPr>
      </w:pPr>
    </w:p>
    <w:p w14:paraId="761BDE2B" w14:textId="6423BD17" w:rsidR="004F1E0A" w:rsidRDefault="004F1E0A">
      <w:pPr>
        <w:rPr>
          <w:color w:val="000000" w:themeColor="text1"/>
          <w:lang w:val="en-GB"/>
        </w:rPr>
      </w:pPr>
      <w:r>
        <w:rPr>
          <w:b/>
          <w:lang w:val="en-GB"/>
        </w:rPr>
        <w:t xml:space="preserve">Objective: </w:t>
      </w:r>
      <w:r>
        <w:rPr>
          <w:lang w:val="en-GB"/>
        </w:rPr>
        <w:t xml:space="preserve">the aim is to </w:t>
      </w:r>
      <w:r w:rsidRPr="004F1E0A">
        <w:rPr>
          <w:color w:val="000000" w:themeColor="text1"/>
          <w:lang w:val="en-GB"/>
        </w:rPr>
        <w:t>review</w:t>
      </w:r>
      <w:r>
        <w:rPr>
          <w:color w:val="000000" w:themeColor="text1"/>
          <w:lang w:val="en-GB"/>
        </w:rPr>
        <w:t xml:space="preserve"> the physiology and the patho</w:t>
      </w:r>
      <w:r w:rsidR="00425DBC">
        <w:rPr>
          <w:color w:val="000000" w:themeColor="text1"/>
          <w:lang w:val="en-GB"/>
        </w:rPr>
        <w:t>logy of eye movements.  The course is aimed at</w:t>
      </w:r>
      <w:r>
        <w:rPr>
          <w:color w:val="000000" w:themeColor="text1"/>
          <w:lang w:val="en-GB"/>
        </w:rPr>
        <w:t xml:space="preserve"> ophthalmologists, neurologists and orthoptists of all grades.  It will be of value to those preparing for exams or refreshing their neuro-ophthalmology knowledge.  The course faculty are recognised experts in this field who will give a comprehensive review and up to date overview of their subjects</w:t>
      </w:r>
    </w:p>
    <w:p w14:paraId="6A74913E" w14:textId="77777777" w:rsidR="00BC4F60" w:rsidRDefault="00BC4F60">
      <w:pPr>
        <w:rPr>
          <w:color w:val="000000" w:themeColor="text1"/>
          <w:lang w:val="en-GB"/>
        </w:rPr>
      </w:pPr>
    </w:p>
    <w:p w14:paraId="14F4D69C" w14:textId="1919A903" w:rsidR="00BC4F60" w:rsidRDefault="00BC4F60">
      <w:pPr>
        <w:rPr>
          <w:color w:val="000000" w:themeColor="text1"/>
          <w:lang w:val="en-GB"/>
        </w:rPr>
      </w:pPr>
      <w:r w:rsidRPr="00BC4F60">
        <w:rPr>
          <w:b/>
          <w:color w:val="000000" w:themeColor="text1"/>
          <w:lang w:val="en-GB"/>
        </w:rPr>
        <w:t>Faculty include</w:t>
      </w:r>
      <w:r w:rsidR="00A12223">
        <w:rPr>
          <w:b/>
          <w:color w:val="000000" w:themeColor="text1"/>
          <w:lang w:val="en-GB"/>
        </w:rPr>
        <w:t xml:space="preserve"> experts in neuro-ophthalmology, </w:t>
      </w:r>
      <w:proofErr w:type="spellStart"/>
      <w:r w:rsidR="00A12223">
        <w:rPr>
          <w:b/>
          <w:color w:val="000000" w:themeColor="text1"/>
          <w:lang w:val="en-GB"/>
        </w:rPr>
        <w:t>orthoptics</w:t>
      </w:r>
      <w:proofErr w:type="spellEnd"/>
      <w:r w:rsidR="00A12223">
        <w:rPr>
          <w:b/>
          <w:color w:val="000000" w:themeColor="text1"/>
          <w:lang w:val="en-GB"/>
        </w:rPr>
        <w:t>, neurology and neuroradiology</w:t>
      </w:r>
      <w:r w:rsidRPr="00BC4F60">
        <w:rPr>
          <w:b/>
          <w:color w:val="000000" w:themeColor="text1"/>
          <w:lang w:val="en-GB"/>
        </w:rPr>
        <w:t>:</w:t>
      </w:r>
      <w:r>
        <w:rPr>
          <w:color w:val="000000" w:themeColor="text1"/>
          <w:lang w:val="en-GB"/>
        </w:rPr>
        <w:t xml:space="preserve"> Mr Mike Burdon, </w:t>
      </w:r>
      <w:r w:rsidR="00FF0992">
        <w:rPr>
          <w:color w:val="000000" w:themeColor="text1"/>
          <w:lang w:val="en-GB"/>
        </w:rPr>
        <w:t xml:space="preserve">Mr Tim Matthews, </w:t>
      </w:r>
      <w:r w:rsidR="00D41B37">
        <w:rPr>
          <w:color w:val="000000" w:themeColor="text1"/>
          <w:lang w:val="en-GB"/>
        </w:rPr>
        <w:t xml:space="preserve">Mr Andrew Jacks, Miss Lidia Alvarez, </w:t>
      </w:r>
      <w:r w:rsidR="00A645A9">
        <w:rPr>
          <w:color w:val="000000" w:themeColor="text1"/>
          <w:lang w:val="en-GB"/>
        </w:rPr>
        <w:t xml:space="preserve">Mr Richard Blanch, </w:t>
      </w:r>
      <w:r w:rsidR="00A12223">
        <w:rPr>
          <w:color w:val="000000" w:themeColor="text1"/>
          <w:lang w:val="en-GB"/>
        </w:rPr>
        <w:t xml:space="preserve">Mr </w:t>
      </w:r>
      <w:r w:rsidR="00105F7B">
        <w:rPr>
          <w:color w:val="000000" w:themeColor="text1"/>
          <w:lang w:val="en-GB"/>
        </w:rPr>
        <w:t xml:space="preserve">James </w:t>
      </w:r>
      <w:proofErr w:type="spellStart"/>
      <w:r w:rsidR="00105F7B">
        <w:rPr>
          <w:color w:val="000000" w:themeColor="text1"/>
          <w:lang w:val="en-GB"/>
        </w:rPr>
        <w:t>Benzimra</w:t>
      </w:r>
      <w:proofErr w:type="spellEnd"/>
      <w:r w:rsidR="00A12223">
        <w:rPr>
          <w:color w:val="000000" w:themeColor="text1"/>
          <w:lang w:val="en-GB"/>
        </w:rPr>
        <w:t xml:space="preserve">, </w:t>
      </w:r>
      <w:r w:rsidR="008C100E">
        <w:rPr>
          <w:lang w:val="en-GB"/>
        </w:rPr>
        <w:t xml:space="preserve">Miss Claire Hazell </w:t>
      </w:r>
      <w:r w:rsidR="00A12223">
        <w:rPr>
          <w:lang w:val="en-GB"/>
        </w:rPr>
        <w:t xml:space="preserve">and Dr </w:t>
      </w:r>
      <w:proofErr w:type="spellStart"/>
      <w:r w:rsidR="00A12223">
        <w:rPr>
          <w:lang w:val="en-GB"/>
        </w:rPr>
        <w:t>S</w:t>
      </w:r>
      <w:r w:rsidR="00105F7B">
        <w:rPr>
          <w:lang w:val="en-GB"/>
        </w:rPr>
        <w:t>warup</w:t>
      </w:r>
      <w:proofErr w:type="spellEnd"/>
      <w:r w:rsidR="00A12223">
        <w:rPr>
          <w:lang w:val="en-GB"/>
        </w:rPr>
        <w:t xml:space="preserve"> </w:t>
      </w:r>
      <w:proofErr w:type="spellStart"/>
      <w:r w:rsidR="00A12223">
        <w:rPr>
          <w:lang w:val="en-GB"/>
        </w:rPr>
        <w:t>Chavda</w:t>
      </w:r>
      <w:proofErr w:type="spellEnd"/>
    </w:p>
    <w:p w14:paraId="36FC29C6" w14:textId="77777777" w:rsidR="00BC4F60" w:rsidRDefault="00BC4F60">
      <w:pPr>
        <w:rPr>
          <w:color w:val="000000" w:themeColor="text1"/>
          <w:lang w:val="en-GB"/>
        </w:rPr>
      </w:pPr>
    </w:p>
    <w:p w14:paraId="40F59793" w14:textId="24BC3858" w:rsidR="004F1E0A" w:rsidRDefault="00BC4F60">
      <w:pPr>
        <w:rPr>
          <w:color w:val="000000" w:themeColor="text1"/>
          <w:lang w:val="en-GB"/>
        </w:rPr>
      </w:pPr>
      <w:r w:rsidRPr="00BC4F60">
        <w:rPr>
          <w:b/>
          <w:color w:val="000000" w:themeColor="text1"/>
          <w:lang w:val="en-GB"/>
        </w:rPr>
        <w:t>Venue:</w:t>
      </w:r>
      <w:r>
        <w:rPr>
          <w:color w:val="000000" w:themeColor="text1"/>
          <w:lang w:val="en-GB"/>
        </w:rPr>
        <w:t xml:space="preserve"> </w:t>
      </w:r>
      <w:r w:rsidR="00425DBC">
        <w:rPr>
          <w:color w:val="000000" w:themeColor="text1"/>
          <w:lang w:val="en-GB"/>
        </w:rPr>
        <w:t xml:space="preserve">Everyman Cinema, </w:t>
      </w:r>
      <w:proofErr w:type="gramStart"/>
      <w:r w:rsidR="00425DBC">
        <w:rPr>
          <w:color w:val="000000" w:themeColor="text1"/>
          <w:lang w:val="en-GB"/>
        </w:rPr>
        <w:t>The</w:t>
      </w:r>
      <w:proofErr w:type="gramEnd"/>
      <w:r w:rsidR="00425DBC">
        <w:rPr>
          <w:color w:val="000000" w:themeColor="text1"/>
          <w:lang w:val="en-GB"/>
        </w:rPr>
        <w:t xml:space="preserve"> Mailbox, Birmingham</w:t>
      </w:r>
    </w:p>
    <w:p w14:paraId="60B7230C" w14:textId="77777777" w:rsidR="00461020" w:rsidRDefault="00461020">
      <w:pPr>
        <w:rPr>
          <w:color w:val="000000" w:themeColor="text1"/>
          <w:lang w:val="en-GB"/>
        </w:rPr>
      </w:pPr>
    </w:p>
    <w:p w14:paraId="6CC8770C" w14:textId="618BF294" w:rsidR="00461020" w:rsidRPr="00461020" w:rsidRDefault="00461020">
      <w:pPr>
        <w:rPr>
          <w:b/>
          <w:color w:val="000000" w:themeColor="text1"/>
          <w:lang w:val="en-GB"/>
        </w:rPr>
      </w:pPr>
      <w:r w:rsidRPr="00461020">
        <w:rPr>
          <w:b/>
          <w:color w:val="000000" w:themeColor="text1"/>
          <w:lang w:val="en-GB"/>
        </w:rPr>
        <w:t xml:space="preserve">Provisional Timetable </w:t>
      </w:r>
    </w:p>
    <w:p w14:paraId="7BBA7410" w14:textId="77777777" w:rsidR="00425DBC" w:rsidRDefault="00425DBC">
      <w:pPr>
        <w:rPr>
          <w:lang w:val="en-GB"/>
        </w:rPr>
      </w:pPr>
    </w:p>
    <w:tbl>
      <w:tblPr>
        <w:tblStyle w:val="GridTable4Accent5"/>
        <w:tblW w:w="9236" w:type="dxa"/>
        <w:tblLook w:val="04A0" w:firstRow="1" w:lastRow="0" w:firstColumn="1" w:lastColumn="0" w:noHBand="0" w:noVBand="1"/>
      </w:tblPr>
      <w:tblGrid>
        <w:gridCol w:w="785"/>
        <w:gridCol w:w="4594"/>
        <w:gridCol w:w="3857"/>
      </w:tblGrid>
      <w:tr w:rsidR="004175A8" w:rsidRPr="00A558E2" w14:paraId="0B77975E" w14:textId="77777777" w:rsidTr="00B72B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989C2F7" w14:textId="77777777" w:rsidR="004175A8" w:rsidRPr="00A558E2" w:rsidRDefault="004175A8" w:rsidP="00B72BCF">
            <w:pPr>
              <w:rPr>
                <w:sz w:val="22"/>
                <w:szCs w:val="22"/>
                <w:lang w:val="en-GB"/>
              </w:rPr>
            </w:pPr>
            <w:r w:rsidRPr="00A558E2">
              <w:rPr>
                <w:sz w:val="22"/>
                <w:szCs w:val="22"/>
                <w:lang w:val="en-GB"/>
              </w:rPr>
              <w:t>From 0830</w:t>
            </w:r>
          </w:p>
        </w:tc>
        <w:tc>
          <w:tcPr>
            <w:tcW w:w="4594" w:type="dxa"/>
          </w:tcPr>
          <w:p w14:paraId="15095181" w14:textId="77777777" w:rsidR="004175A8" w:rsidRPr="00A558E2" w:rsidRDefault="004175A8" w:rsidP="00B72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558E2">
              <w:rPr>
                <w:lang w:val="en-GB"/>
              </w:rPr>
              <w:t>Registration</w:t>
            </w:r>
          </w:p>
        </w:tc>
        <w:tc>
          <w:tcPr>
            <w:tcW w:w="3857" w:type="dxa"/>
          </w:tcPr>
          <w:p w14:paraId="21887830" w14:textId="77777777" w:rsidR="004175A8" w:rsidRPr="00A558E2" w:rsidRDefault="004175A8" w:rsidP="00B72B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75A8" w:rsidRPr="0084493A" w14:paraId="362C68FE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05F6A108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lang w:val="en-GB"/>
              </w:rPr>
              <w:t>0900</w:t>
            </w:r>
          </w:p>
        </w:tc>
        <w:tc>
          <w:tcPr>
            <w:tcW w:w="4594" w:type="dxa"/>
          </w:tcPr>
          <w:p w14:paraId="618C6601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4493A">
              <w:rPr>
                <w:lang w:val="en-GB"/>
              </w:rPr>
              <w:t>Welcome</w:t>
            </w:r>
          </w:p>
        </w:tc>
        <w:tc>
          <w:tcPr>
            <w:tcW w:w="3857" w:type="dxa"/>
          </w:tcPr>
          <w:p w14:paraId="623213BF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75A8" w:rsidRPr="0084493A" w14:paraId="5108A24C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60C4B39C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0900</w:t>
            </w:r>
          </w:p>
        </w:tc>
        <w:tc>
          <w:tcPr>
            <w:tcW w:w="4594" w:type="dxa"/>
          </w:tcPr>
          <w:p w14:paraId="752B519E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What is double vision? </w:t>
            </w:r>
          </w:p>
        </w:tc>
        <w:tc>
          <w:tcPr>
            <w:tcW w:w="3857" w:type="dxa"/>
          </w:tcPr>
          <w:p w14:paraId="19E71476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Mike Burdon</w:t>
            </w:r>
          </w:p>
        </w:tc>
      </w:tr>
      <w:tr w:rsidR="004175A8" w:rsidRPr="0084493A" w14:paraId="1464169E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34716A0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b w:val="0"/>
                <w:lang w:val="en-GB"/>
              </w:rPr>
              <w:t>0930</w:t>
            </w:r>
          </w:p>
        </w:tc>
        <w:tc>
          <w:tcPr>
            <w:tcW w:w="4594" w:type="dxa"/>
          </w:tcPr>
          <w:p w14:paraId="693BC9DF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Causes of double vision and examination of eye movements </w:t>
            </w:r>
          </w:p>
        </w:tc>
        <w:tc>
          <w:tcPr>
            <w:tcW w:w="3857" w:type="dxa"/>
          </w:tcPr>
          <w:p w14:paraId="35BC505F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Mike Burdon</w:t>
            </w:r>
          </w:p>
        </w:tc>
      </w:tr>
      <w:tr w:rsidR="004175A8" w:rsidRPr="0084493A" w14:paraId="09D528B0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EC47786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1000</w:t>
            </w:r>
          </w:p>
        </w:tc>
        <w:tc>
          <w:tcPr>
            <w:tcW w:w="4594" w:type="dxa"/>
          </w:tcPr>
          <w:p w14:paraId="322A3E80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Double vision – how to get the most from your </w:t>
            </w:r>
            <w:proofErr w:type="spellStart"/>
            <w:r w:rsidRPr="0084493A">
              <w:rPr>
                <w:b/>
                <w:lang w:val="en-GB"/>
              </w:rPr>
              <w:t>orthoptic</w:t>
            </w:r>
            <w:proofErr w:type="spellEnd"/>
            <w:r w:rsidRPr="0084493A">
              <w:rPr>
                <w:b/>
                <w:lang w:val="en-GB"/>
              </w:rPr>
              <w:t xml:space="preserve"> report </w:t>
            </w:r>
          </w:p>
        </w:tc>
        <w:tc>
          <w:tcPr>
            <w:tcW w:w="3857" w:type="dxa"/>
          </w:tcPr>
          <w:p w14:paraId="19AC80C8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Claire Hazell</w:t>
            </w:r>
          </w:p>
        </w:tc>
      </w:tr>
      <w:tr w:rsidR="004175A8" w:rsidRPr="0084493A" w14:paraId="0078517C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186ABF9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lang w:val="en-GB"/>
              </w:rPr>
              <w:t>1030</w:t>
            </w:r>
          </w:p>
        </w:tc>
        <w:tc>
          <w:tcPr>
            <w:tcW w:w="4594" w:type="dxa"/>
          </w:tcPr>
          <w:p w14:paraId="36804699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84493A">
              <w:rPr>
                <w:lang w:val="en-GB"/>
              </w:rPr>
              <w:t>Coffee</w:t>
            </w:r>
          </w:p>
        </w:tc>
        <w:tc>
          <w:tcPr>
            <w:tcW w:w="3857" w:type="dxa"/>
          </w:tcPr>
          <w:p w14:paraId="72213EEF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75A8" w:rsidRPr="0084493A" w14:paraId="147E7780" w14:textId="77777777" w:rsidTr="00B72BC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22DAC2DD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1100</w:t>
            </w:r>
          </w:p>
        </w:tc>
        <w:tc>
          <w:tcPr>
            <w:tcW w:w="4594" w:type="dxa"/>
          </w:tcPr>
          <w:p w14:paraId="3D725055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Myasthenia Gravis </w:t>
            </w:r>
          </w:p>
        </w:tc>
        <w:tc>
          <w:tcPr>
            <w:tcW w:w="3857" w:type="dxa"/>
          </w:tcPr>
          <w:p w14:paraId="6580AD1F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Lidia Alvarez</w:t>
            </w:r>
          </w:p>
        </w:tc>
      </w:tr>
      <w:tr w:rsidR="004175A8" w:rsidRPr="0084493A" w14:paraId="0A6D319D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2BB18EE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b w:val="0"/>
                <w:lang w:val="en-GB"/>
              </w:rPr>
              <w:t>1130</w:t>
            </w:r>
          </w:p>
        </w:tc>
        <w:tc>
          <w:tcPr>
            <w:tcW w:w="4594" w:type="dxa"/>
          </w:tcPr>
          <w:p w14:paraId="6EB83B79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Brainstem control of eye movements</w:t>
            </w:r>
          </w:p>
        </w:tc>
        <w:tc>
          <w:tcPr>
            <w:tcW w:w="3857" w:type="dxa"/>
          </w:tcPr>
          <w:p w14:paraId="2CCE8912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Tim Matthews</w:t>
            </w:r>
          </w:p>
        </w:tc>
      </w:tr>
      <w:tr w:rsidR="004175A8" w:rsidRPr="0084493A" w14:paraId="198D1170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1A14FEBF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lang w:val="en-GB"/>
              </w:rPr>
              <w:t>1200</w:t>
            </w:r>
          </w:p>
        </w:tc>
        <w:tc>
          <w:tcPr>
            <w:tcW w:w="4594" w:type="dxa"/>
          </w:tcPr>
          <w:p w14:paraId="327DAD65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Lunch</w:t>
            </w:r>
          </w:p>
        </w:tc>
        <w:tc>
          <w:tcPr>
            <w:tcW w:w="3857" w:type="dxa"/>
          </w:tcPr>
          <w:p w14:paraId="1A71C486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175A8" w:rsidRPr="0084493A" w14:paraId="69513026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3E2B779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b w:val="0"/>
                <w:lang w:val="en-GB"/>
              </w:rPr>
              <w:t>1245</w:t>
            </w:r>
          </w:p>
        </w:tc>
        <w:tc>
          <w:tcPr>
            <w:tcW w:w="4594" w:type="dxa"/>
          </w:tcPr>
          <w:p w14:paraId="3BA5893B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 w:rsidRPr="0084493A">
              <w:rPr>
                <w:b/>
                <w:lang w:val="en-GB"/>
              </w:rPr>
              <w:t>Supranuclear</w:t>
            </w:r>
            <w:proofErr w:type="spellEnd"/>
            <w:r w:rsidRPr="0084493A">
              <w:rPr>
                <w:b/>
                <w:lang w:val="en-GB"/>
              </w:rPr>
              <w:t xml:space="preserve"> Disorders of eye movements </w:t>
            </w:r>
          </w:p>
        </w:tc>
        <w:tc>
          <w:tcPr>
            <w:tcW w:w="3857" w:type="dxa"/>
          </w:tcPr>
          <w:p w14:paraId="588E61F7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Tim Matthews</w:t>
            </w:r>
          </w:p>
        </w:tc>
      </w:tr>
      <w:tr w:rsidR="004175A8" w:rsidRPr="0084493A" w14:paraId="7D6E0829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6AB0FF76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1330</w:t>
            </w:r>
          </w:p>
        </w:tc>
        <w:tc>
          <w:tcPr>
            <w:tcW w:w="4594" w:type="dxa"/>
          </w:tcPr>
          <w:p w14:paraId="23455405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W5 of neuro-imaging – </w:t>
            </w:r>
            <w:proofErr w:type="spellStart"/>
            <w:r w:rsidRPr="0084493A">
              <w:rPr>
                <w:b/>
                <w:lang w:val="en-GB"/>
              </w:rPr>
              <w:t>Swarup</w:t>
            </w:r>
            <w:proofErr w:type="spellEnd"/>
            <w:r w:rsidRPr="0084493A">
              <w:rPr>
                <w:b/>
                <w:lang w:val="en-GB"/>
              </w:rPr>
              <w:t xml:space="preserve"> </w:t>
            </w:r>
            <w:proofErr w:type="spellStart"/>
            <w:r w:rsidRPr="0084493A">
              <w:rPr>
                <w:b/>
                <w:lang w:val="en-GB"/>
              </w:rPr>
              <w:t>Chavda</w:t>
            </w:r>
            <w:proofErr w:type="spellEnd"/>
            <w:r w:rsidRPr="0084493A">
              <w:rPr>
                <w:b/>
                <w:lang w:val="en-GB"/>
              </w:rPr>
              <w:t xml:space="preserve"> </w:t>
            </w:r>
          </w:p>
        </w:tc>
        <w:tc>
          <w:tcPr>
            <w:tcW w:w="3857" w:type="dxa"/>
          </w:tcPr>
          <w:p w14:paraId="35B50AD9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 w:rsidRPr="0084493A">
              <w:rPr>
                <w:b/>
                <w:lang w:val="en-GB"/>
              </w:rPr>
              <w:t>Swarup</w:t>
            </w:r>
            <w:proofErr w:type="spellEnd"/>
            <w:r w:rsidRPr="0084493A">
              <w:rPr>
                <w:b/>
                <w:lang w:val="en-GB"/>
              </w:rPr>
              <w:t xml:space="preserve"> </w:t>
            </w:r>
            <w:proofErr w:type="spellStart"/>
            <w:r w:rsidRPr="0084493A">
              <w:rPr>
                <w:b/>
                <w:lang w:val="en-GB"/>
              </w:rPr>
              <w:t>Chavda</w:t>
            </w:r>
            <w:proofErr w:type="spellEnd"/>
          </w:p>
        </w:tc>
      </w:tr>
      <w:tr w:rsidR="004175A8" w:rsidRPr="0084493A" w14:paraId="48490F57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013C0B3A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lang w:val="en-GB"/>
              </w:rPr>
              <w:t>1400</w:t>
            </w:r>
          </w:p>
        </w:tc>
        <w:tc>
          <w:tcPr>
            <w:tcW w:w="4594" w:type="dxa"/>
          </w:tcPr>
          <w:p w14:paraId="77876D22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proofErr w:type="spellStart"/>
            <w:r w:rsidRPr="0084493A">
              <w:rPr>
                <w:b/>
                <w:lang w:val="en-GB"/>
              </w:rPr>
              <w:t>Infranuclear</w:t>
            </w:r>
            <w:proofErr w:type="spellEnd"/>
            <w:r w:rsidRPr="0084493A">
              <w:rPr>
                <w:b/>
                <w:lang w:val="en-GB"/>
              </w:rPr>
              <w:t xml:space="preserve"> </w:t>
            </w:r>
            <w:proofErr w:type="spellStart"/>
            <w:r w:rsidRPr="0084493A">
              <w:rPr>
                <w:b/>
                <w:lang w:val="en-GB"/>
              </w:rPr>
              <w:t>Oculomotility</w:t>
            </w:r>
            <w:proofErr w:type="spellEnd"/>
            <w:r w:rsidRPr="0084493A">
              <w:rPr>
                <w:b/>
                <w:lang w:val="en-GB"/>
              </w:rPr>
              <w:t xml:space="preserve"> disorders </w:t>
            </w:r>
          </w:p>
        </w:tc>
        <w:tc>
          <w:tcPr>
            <w:tcW w:w="3857" w:type="dxa"/>
          </w:tcPr>
          <w:p w14:paraId="2172B2FB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Richard Blanch and </w:t>
            </w:r>
            <w:proofErr w:type="spellStart"/>
            <w:r w:rsidRPr="0084493A">
              <w:rPr>
                <w:b/>
                <w:lang w:val="en-GB"/>
              </w:rPr>
              <w:t>Swarup</w:t>
            </w:r>
            <w:proofErr w:type="spellEnd"/>
            <w:r w:rsidRPr="0084493A">
              <w:rPr>
                <w:b/>
                <w:lang w:val="en-GB"/>
              </w:rPr>
              <w:t xml:space="preserve"> </w:t>
            </w:r>
            <w:proofErr w:type="spellStart"/>
            <w:r w:rsidRPr="0084493A">
              <w:rPr>
                <w:b/>
                <w:lang w:val="en-GB"/>
              </w:rPr>
              <w:t>Chavda</w:t>
            </w:r>
            <w:proofErr w:type="spellEnd"/>
          </w:p>
        </w:tc>
      </w:tr>
      <w:tr w:rsidR="004175A8" w:rsidRPr="0084493A" w14:paraId="27CB2384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35DE5360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1445</w:t>
            </w:r>
          </w:p>
        </w:tc>
        <w:tc>
          <w:tcPr>
            <w:tcW w:w="4594" w:type="dxa"/>
          </w:tcPr>
          <w:p w14:paraId="2D314A64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Tea</w:t>
            </w:r>
          </w:p>
        </w:tc>
        <w:tc>
          <w:tcPr>
            <w:tcW w:w="3857" w:type="dxa"/>
          </w:tcPr>
          <w:p w14:paraId="56FFA0DD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</w:p>
        </w:tc>
      </w:tr>
      <w:tr w:rsidR="004175A8" w:rsidRPr="0084493A" w14:paraId="5757C0E9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371E41A4" w14:textId="77777777" w:rsidR="004175A8" w:rsidRPr="0084493A" w:rsidRDefault="004175A8" w:rsidP="00B72BCF">
            <w:pPr>
              <w:rPr>
                <w:lang w:val="en-GB"/>
              </w:rPr>
            </w:pPr>
            <w:r w:rsidRPr="0084493A">
              <w:rPr>
                <w:lang w:val="en-GB"/>
              </w:rPr>
              <w:t>1515</w:t>
            </w:r>
          </w:p>
        </w:tc>
        <w:tc>
          <w:tcPr>
            <w:tcW w:w="4594" w:type="dxa"/>
          </w:tcPr>
          <w:p w14:paraId="1EC8FD62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Surgical management of double vision </w:t>
            </w:r>
          </w:p>
        </w:tc>
        <w:tc>
          <w:tcPr>
            <w:tcW w:w="3857" w:type="dxa"/>
          </w:tcPr>
          <w:p w14:paraId="1FAD530C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>Andrew Jacks</w:t>
            </w:r>
          </w:p>
        </w:tc>
      </w:tr>
      <w:tr w:rsidR="004175A8" w:rsidRPr="0084493A" w14:paraId="0B6861D3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5C908468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1600</w:t>
            </w:r>
          </w:p>
        </w:tc>
        <w:tc>
          <w:tcPr>
            <w:tcW w:w="4594" w:type="dxa"/>
          </w:tcPr>
          <w:p w14:paraId="2F347AD9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Nystagmus </w:t>
            </w:r>
          </w:p>
        </w:tc>
        <w:tc>
          <w:tcPr>
            <w:tcW w:w="3857" w:type="dxa"/>
          </w:tcPr>
          <w:p w14:paraId="0B59B459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b/>
                <w:lang w:val="en-GB"/>
              </w:rPr>
              <w:t xml:space="preserve">James </w:t>
            </w:r>
            <w:proofErr w:type="spellStart"/>
            <w:r w:rsidRPr="0084493A">
              <w:rPr>
                <w:b/>
                <w:lang w:val="en-GB"/>
              </w:rPr>
              <w:t>Benzimra</w:t>
            </w:r>
            <w:proofErr w:type="spellEnd"/>
          </w:p>
        </w:tc>
      </w:tr>
      <w:tr w:rsidR="004175A8" w:rsidRPr="0084493A" w14:paraId="599DA2A7" w14:textId="77777777" w:rsidTr="00B72B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3E7D8490" w14:textId="77777777" w:rsidR="004175A8" w:rsidRPr="0084493A" w:rsidRDefault="004175A8" w:rsidP="00B72BCF">
            <w:pPr>
              <w:rPr>
                <w:b w:val="0"/>
                <w:lang w:val="en-GB"/>
              </w:rPr>
            </w:pPr>
            <w:r w:rsidRPr="0084493A">
              <w:rPr>
                <w:b w:val="0"/>
                <w:lang w:val="en-GB"/>
              </w:rPr>
              <w:t>1630</w:t>
            </w:r>
          </w:p>
        </w:tc>
        <w:tc>
          <w:tcPr>
            <w:tcW w:w="4594" w:type="dxa"/>
          </w:tcPr>
          <w:p w14:paraId="705368E4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GB"/>
              </w:rPr>
            </w:pPr>
            <w:r w:rsidRPr="0084493A">
              <w:rPr>
                <w:lang w:val="en-GB"/>
              </w:rPr>
              <w:t>Questions and Close</w:t>
            </w:r>
          </w:p>
        </w:tc>
        <w:tc>
          <w:tcPr>
            <w:tcW w:w="3857" w:type="dxa"/>
          </w:tcPr>
          <w:p w14:paraId="4AEBF833" w14:textId="77777777" w:rsidR="004175A8" w:rsidRPr="0084493A" w:rsidRDefault="004175A8" w:rsidP="00B72B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4175A8" w:rsidRPr="0084493A" w14:paraId="3B45DBF5" w14:textId="77777777" w:rsidTr="00B72B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5" w:type="dxa"/>
          </w:tcPr>
          <w:p w14:paraId="0F75D09D" w14:textId="77777777" w:rsidR="004175A8" w:rsidRPr="0084493A" w:rsidRDefault="004175A8" w:rsidP="00B72BCF">
            <w:pPr>
              <w:rPr>
                <w:lang w:val="en-GB"/>
              </w:rPr>
            </w:pPr>
          </w:p>
        </w:tc>
        <w:tc>
          <w:tcPr>
            <w:tcW w:w="4594" w:type="dxa"/>
          </w:tcPr>
          <w:p w14:paraId="35D0D8C0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3857" w:type="dxa"/>
          </w:tcPr>
          <w:p w14:paraId="2817FCB1" w14:textId="77777777" w:rsidR="004175A8" w:rsidRPr="0084493A" w:rsidRDefault="004175A8" w:rsidP="00B72B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14:paraId="3BC8BFAB" w14:textId="77777777" w:rsidR="004175A8" w:rsidRPr="004F1E0A" w:rsidRDefault="004175A8">
      <w:pPr>
        <w:rPr>
          <w:lang w:val="en-GB"/>
        </w:rPr>
      </w:pPr>
    </w:p>
    <w:sectPr w:rsidR="004175A8" w:rsidRPr="004F1E0A" w:rsidSect="0059504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A"/>
    <w:rsid w:val="00105F7B"/>
    <w:rsid w:val="00165781"/>
    <w:rsid w:val="0020557F"/>
    <w:rsid w:val="002225B1"/>
    <w:rsid w:val="00240F52"/>
    <w:rsid w:val="00263DC0"/>
    <w:rsid w:val="002A416E"/>
    <w:rsid w:val="00330475"/>
    <w:rsid w:val="0039281E"/>
    <w:rsid w:val="003B4025"/>
    <w:rsid w:val="003F055D"/>
    <w:rsid w:val="004175A8"/>
    <w:rsid w:val="00425DBC"/>
    <w:rsid w:val="00461020"/>
    <w:rsid w:val="004C36A9"/>
    <w:rsid w:val="004F1E0A"/>
    <w:rsid w:val="00567F94"/>
    <w:rsid w:val="00595040"/>
    <w:rsid w:val="005D227B"/>
    <w:rsid w:val="00642742"/>
    <w:rsid w:val="006435BB"/>
    <w:rsid w:val="006A6B35"/>
    <w:rsid w:val="006D0D18"/>
    <w:rsid w:val="007173CA"/>
    <w:rsid w:val="00742473"/>
    <w:rsid w:val="0076509B"/>
    <w:rsid w:val="00775589"/>
    <w:rsid w:val="00794C4B"/>
    <w:rsid w:val="007F6FD5"/>
    <w:rsid w:val="00805B99"/>
    <w:rsid w:val="008C100E"/>
    <w:rsid w:val="008C25D7"/>
    <w:rsid w:val="009345C4"/>
    <w:rsid w:val="009A5E1C"/>
    <w:rsid w:val="009B2657"/>
    <w:rsid w:val="009C0879"/>
    <w:rsid w:val="00A12223"/>
    <w:rsid w:val="00A558E2"/>
    <w:rsid w:val="00A645A9"/>
    <w:rsid w:val="00B55764"/>
    <w:rsid w:val="00B63399"/>
    <w:rsid w:val="00B96269"/>
    <w:rsid w:val="00BA7421"/>
    <w:rsid w:val="00BC4F60"/>
    <w:rsid w:val="00C370EF"/>
    <w:rsid w:val="00C72E98"/>
    <w:rsid w:val="00C75B09"/>
    <w:rsid w:val="00C862C6"/>
    <w:rsid w:val="00C90106"/>
    <w:rsid w:val="00C91B36"/>
    <w:rsid w:val="00CC393A"/>
    <w:rsid w:val="00D36C0C"/>
    <w:rsid w:val="00D41B37"/>
    <w:rsid w:val="00D51461"/>
    <w:rsid w:val="00D915F9"/>
    <w:rsid w:val="00DA2CAC"/>
    <w:rsid w:val="00DC2D25"/>
    <w:rsid w:val="00DE7EE4"/>
    <w:rsid w:val="00E5765A"/>
    <w:rsid w:val="00EE763E"/>
    <w:rsid w:val="00F01809"/>
    <w:rsid w:val="00F52660"/>
    <w:rsid w:val="00F90685"/>
    <w:rsid w:val="00F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9FB5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23"/>
    <w:rPr>
      <w:color w:val="0563C1" w:themeColor="hyperlink"/>
      <w:u w:val="single"/>
    </w:rPr>
  </w:style>
  <w:style w:type="table" w:customStyle="1" w:styleId="GridTable4Accent5">
    <w:name w:val="Grid Table 4 Accent 5"/>
    <w:basedOn w:val="TableNormal"/>
    <w:uiPriority w:val="49"/>
    <w:rsid w:val="009B26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23"/>
    <w:rPr>
      <w:color w:val="0563C1" w:themeColor="hyperlink"/>
      <w:u w:val="single"/>
    </w:rPr>
  </w:style>
  <w:style w:type="table" w:customStyle="1" w:styleId="GridTable4Accent5">
    <w:name w:val="Grid Table 4 Accent 5"/>
    <w:basedOn w:val="TableNormal"/>
    <w:uiPriority w:val="49"/>
    <w:rsid w:val="009B26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6249F4C8</Template>
  <TotalTime>1</TotalTime>
  <Pages>1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mollan</dc:creator>
  <cp:lastModifiedBy>Beckie Knight</cp:lastModifiedBy>
  <cp:revision>2</cp:revision>
  <dcterms:created xsi:type="dcterms:W3CDTF">2019-08-14T15:34:00Z</dcterms:created>
  <dcterms:modified xsi:type="dcterms:W3CDTF">2019-08-14T15:34:00Z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